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ascii="黑体" w:hAnsi="黑体" w:eastAsia="黑体" w:cs="宋体"/>
          <w:kern w:val="0"/>
          <w:sz w:val="28"/>
          <w:szCs w:val="28"/>
        </w:rPr>
        <w:t>施工企业年报（发展研究资料表）说明：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.季报或年报为季度或一年汇总数据，从一月份开始累积，填在“本年至本期止累计”列，“上年至同期止累计”为上年同期数据，举个例子，现在需要填报202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年年报数据，就在“本年至本期止累计”列填写202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年累计数，“上年至同期止累计”列可填写20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楷体_GB2312" w:hAnsi="宋体" w:eastAsia="楷体_GB2312" w:cs="宋体"/>
          <w:kern w:val="0"/>
          <w:sz w:val="28"/>
          <w:szCs w:val="28"/>
        </w:rPr>
        <w:t>年累计数，也可不填写。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2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.如果有房建项目，必定产生面积，除此之外，只有钢结构有建筑面积，其他施工类型都没有建筑面积。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br w:type="textWrapping"/>
      </w: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3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.工程类别里，1-6项里没有的，通通归到7项“其他工程”，比如装饰装修项目，装饰装修项目也是没有施工面积的，切记。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br w:type="textWrapping"/>
      </w: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4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.“直接从建设单位承揽工程完成的产值”指的是从招投标手续走的工程。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br w:type="textWrapping"/>
      </w: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5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.从业人员这块，管理人员加上现场施工工人应为总的期末从业人员数。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6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.人员里填的是一级项目经理，不是二级。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br w:type="textWrapping"/>
      </w: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7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.第四大项，利润总额不要忘记填写。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8.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表格上方企业名称填完整。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9.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表格下方填表联系人联系方式填完整。</w:t>
      </w:r>
    </w:p>
    <w:p>
      <w:pPr>
        <w:widowControl/>
        <w:jc w:val="left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10.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表格中间格为“计量单位”，不可填写数字。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br w:type="textWrapping"/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以上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2B7"/>
    <w:rsid w:val="00015F88"/>
    <w:rsid w:val="0004211C"/>
    <w:rsid w:val="00183ACB"/>
    <w:rsid w:val="002452A2"/>
    <w:rsid w:val="002F7269"/>
    <w:rsid w:val="00361D2A"/>
    <w:rsid w:val="0044716A"/>
    <w:rsid w:val="004617D8"/>
    <w:rsid w:val="004E6BF0"/>
    <w:rsid w:val="005B67FF"/>
    <w:rsid w:val="008A72B7"/>
    <w:rsid w:val="009F26A7"/>
    <w:rsid w:val="00B60B72"/>
    <w:rsid w:val="00B65DCA"/>
    <w:rsid w:val="00CD61DF"/>
    <w:rsid w:val="00DE6AC5"/>
    <w:rsid w:val="00EC59B0"/>
    <w:rsid w:val="00ED7D18"/>
    <w:rsid w:val="00F43CCB"/>
    <w:rsid w:val="00FA6183"/>
    <w:rsid w:val="78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368</Characters>
  <Lines>3</Lines>
  <Paragraphs>1</Paragraphs>
  <TotalTime>13</TotalTime>
  <ScaleCrop>false</ScaleCrop>
  <LinksUpToDate>false</LinksUpToDate>
  <CharactersWithSpaces>431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2018-01-04T09:43:00Z</dcterms:created>
  <dc:creator>Microsoft</dc:creator>
  <cp:lastModifiedBy>四月</cp:lastModifiedBy>
  <dcterms:modified xsi:type="dcterms:W3CDTF">2022-01-11T02:34:04Z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D521DC74B1DA493CA0E5A83847A5408B</vt:lpwstr>
  </property>
</Properties>
</file>