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84" w:firstLineChars="100"/>
        <w:rPr>
          <w:rFonts w:hint="eastAsia" w:ascii="方正小标宋简体" w:hAnsi="华文中宋" w:eastAsia="方正小标宋简体" w:cs="Times New Roman"/>
          <w:color w:val="FFFFFF" w:themeColor="background1"/>
          <w:spacing w:val="8"/>
          <w:w w:val="64"/>
          <w:kern w:val="200"/>
          <w:sz w:val="120"/>
          <w:szCs w:val="120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 w:ascii="方正小标宋简体" w:hAnsi="华文中宋" w:eastAsia="方正小标宋简体" w:cs="Times New Roman"/>
          <w:color w:val="FFFFFF" w:themeColor="background1"/>
          <w:spacing w:val="8"/>
          <w:w w:val="64"/>
          <w:kern w:val="200"/>
          <w:sz w:val="120"/>
          <w:szCs w:val="120"/>
          <w:lang w:val="en-US" w:eastAsia="zh-CN"/>
          <w14:textFill>
            <w14:solidFill>
              <w14:schemeClr w14:val="bg1"/>
            </w14:solidFill>
          </w14:textFill>
        </w:rPr>
        <w:t>淮北市建筑业协会文件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kern w:val="2"/>
          <w:sz w:val="32"/>
          <w:szCs w:val="32"/>
          <w:u w:val="thick" w:color="FFFFFF" w:themeColor="background1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u w:val="thick" w:color="FFFFFF" w:themeColor="background1"/>
          <w:lang w:val="en-US" w:eastAsia="zh-CN" w:bidi="ar-SA"/>
        </w:rPr>
        <w:t xml:space="preserve">                 </w:t>
      </w:r>
    </w:p>
    <w:p>
      <w:pPr>
        <w:ind w:firstLine="640" w:firstLineChars="200"/>
        <w:rPr>
          <w:rFonts w:hint="eastAsia" w:ascii="Times New Roman" w:hAnsi="Times New Roman" w:eastAsia="仿宋_GB2312" w:cs="仿宋_GB2312"/>
          <w:kern w:val="2"/>
          <w:sz w:val="32"/>
          <w:szCs w:val="32"/>
          <w:u w:val="thick" w:color="FFFFFF" w:themeColor="background1"/>
          <w:lang w:val="en-US" w:eastAsia="zh-CN" w:bidi="ar-SA"/>
        </w:rPr>
      </w:pPr>
    </w:p>
    <w:p>
      <w:pPr>
        <w:ind w:firstLine="640" w:firstLineChars="200"/>
        <w:jc w:val="center"/>
        <w:rPr>
          <w:rFonts w:hint="default" w:ascii="Times New Roman" w:hAnsi="Times New Roman" w:eastAsia="仿宋_GB2312" w:cs="仿宋_GB2312"/>
          <w:kern w:val="2"/>
          <w:sz w:val="32"/>
          <w:szCs w:val="32"/>
          <w:u w:val="thick" w:color="FFFFFF" w:themeColor="background1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u w:val="thick" w:color="FFFFFF" w:themeColor="background1"/>
          <w:lang w:val="en-US" w:eastAsia="zh-CN" w:bidi="ar-SA"/>
        </w:rPr>
        <w:t>淮建协</w:t>
      </w: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sz w:val="32"/>
          <w:szCs w:val="32"/>
          <w:u w:val="thick" w:color="FFFFFF" w:themeColor="background1"/>
          <w:shd w:val="clear" w:fill="FFFFFF"/>
          <w:lang w:val="en-US" w:eastAsia="zh-CN"/>
        </w:rPr>
        <w:t>〔2024〕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u w:val="thick" w:color="FFFFFF" w:themeColor="background1"/>
          <w:lang w:val="en-US" w:eastAsia="zh-CN" w:bidi="ar-SA"/>
        </w:rPr>
        <w:t>4号</w:t>
      </w:r>
    </w:p>
    <w:p>
      <w:pPr>
        <w:rPr>
          <w:rFonts w:hint="default" w:ascii="Times New Roman" w:hAnsi="Times New Roman" w:eastAsia="仿宋_GB2312" w:cs="仿宋_GB2312"/>
          <w:kern w:val="2"/>
          <w:sz w:val="32"/>
          <w:szCs w:val="32"/>
          <w:u w:val="singl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关于开展淮北市2023年度建筑行业优秀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建设工程企业和优秀个人评选活动的通知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各会员单位: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深入贯彻党的二十大精神，认真践行习近平新时代中国特色社会主义思想，激发我市建筑业企业争先创优、再创佳绩的积极性，树立企业的良好社会形象，实现比学赶帮超的有序循环，进一步增强协会凝聚力，推动我市建筑业持续健康发展，我协会经研究决定继续开展淮北市2023年度优秀建设工程企业和优秀个人的评选活动。现将有关事项通知如下: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黑体" w:cs="黑体"/>
          <w:bCs/>
          <w:sz w:val="32"/>
          <w:szCs w:val="32"/>
          <w:lang w:val="en-US" w:eastAsia="zh-CN"/>
        </w:rPr>
        <w:t xml:space="preserve"> 一、评选奖项设置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本次评选奖项设置企业和个人两个系列: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(一）企业:优秀建设工程企业（含施工、监理、造价咨询、招标代理和勘察设计企业）；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(二）个人:优秀项目经理、优秀总监理工程师、优秀造价师、优秀勘察设计师。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eastAsia="黑体" w:cs="黑体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Cs/>
          <w:sz w:val="32"/>
          <w:szCs w:val="32"/>
          <w:lang w:val="en-US" w:eastAsia="zh-CN"/>
        </w:rPr>
        <w:t>二、评选比例分配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(具体见评选办法)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Times New Roman" w:hAnsi="Times New Roman" w:eastAsia="黑体" w:cs="黑体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Cs/>
          <w:sz w:val="32"/>
          <w:szCs w:val="32"/>
          <w:lang w:val="en-US" w:eastAsia="zh-CN"/>
        </w:rPr>
        <w:t>三、评选范围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本次评选时间范围为2023年1月1日至2023年12月31日。</w:t>
      </w:r>
      <w:r>
        <w:rPr>
          <w:rFonts w:hint="eastAsia" w:ascii="Times New Roman" w:hAnsi="Times New Roman" w:eastAsia="黑体" w:cs="黑体"/>
          <w:bCs/>
          <w:sz w:val="32"/>
          <w:szCs w:val="32"/>
          <w:lang w:val="en-US" w:eastAsia="zh-CN"/>
        </w:rPr>
        <w:t>四、申报说明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）淮北市202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年度建筑行业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优秀建设工程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企业和优秀个人评选活动是我会开展的一项无偿服务活动，不向会员单位收取任何费用。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申报企业经评审委员会评审通过后，由市建筑业协会官网进行公示及颁发证书、奖牌，并向社会公布宣传。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（三）本次申报优秀建设工程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的单位，根据企业自身的优势和强项，只需在施工、监理、造价咨询、招标代理、勘察设计等类别中选取一项申报即可。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黑体" w:cs="黑体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黑体"/>
          <w:bCs/>
          <w:sz w:val="32"/>
          <w:szCs w:val="32"/>
          <w:lang w:val="en-US" w:eastAsia="zh-CN"/>
        </w:rPr>
        <w:t>五、申报要求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(一）淮北市202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年度建筑行业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优秀建设工程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企业和优秀个人申报推荐工作应严格按评选办法的规定执行。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各申报单位要对上报材料的真实性负责，严禁弄虚作假。申报材料应装订成册，扫描件、复印件应清晰、真实，相应各栏目均应按规定签字盖章。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(二）申报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优秀建设工程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企业及优秀个人所在企业均必须是按标准缴纳202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年会费的会员单位。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黑体" w:cs="黑体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黑体"/>
          <w:bCs/>
          <w:sz w:val="32"/>
          <w:szCs w:val="32"/>
          <w:lang w:val="en-US" w:eastAsia="zh-CN"/>
        </w:rPr>
        <w:t>六、特别提示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(一）会员单位既可以同时申报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优秀建设工程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企业和优秀个人，也可以单独申报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优秀建设工程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企业或单独申报优秀个人。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(二)申报单位（包括个人所在单位）的注册地必须在淮北市。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(三）请各申报企业及个人按照评选办法的要求准备相关资料，申报表（单独装订）一份，申报资料一份，并于202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下午五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时之前报至协会，逾期不再受理。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联系人: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唐家璇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联系电话:0561-2250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329</w:t>
      </w:r>
    </w:p>
    <w:p>
      <w:pPr>
        <w:keepNext w:val="0"/>
        <w:keepLines w:val="0"/>
        <w:pageBreakBefore w:val="0"/>
        <w:widowControl w:val="0"/>
        <w:tabs>
          <w:tab w:val="left" w:pos="5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邮箱:ahhbsjzyxh@sina.com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5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 2024年3月11日</w:t>
      </w:r>
    </w:p>
    <w:p>
      <w:pPr>
        <w:keepNext w:val="0"/>
        <w:keepLines w:val="0"/>
        <w:pageBreakBefore w:val="0"/>
        <w:widowControl w:val="0"/>
        <w:tabs>
          <w:tab w:val="left" w:pos="55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HorizontalSpacing w:val="201"/>
  <w:drawingGridVerticalSpacing w:val="228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3ZWRmNmQyNWZkOTAyODkyYjJmODU4YjI4MDZjN2YifQ=="/>
  </w:docVars>
  <w:rsids>
    <w:rsidRoot w:val="00143B0F"/>
    <w:rsid w:val="00143B0F"/>
    <w:rsid w:val="03AE3019"/>
    <w:rsid w:val="0A2C65D1"/>
    <w:rsid w:val="0C1B4CBB"/>
    <w:rsid w:val="10C0200F"/>
    <w:rsid w:val="1995169B"/>
    <w:rsid w:val="27F6654B"/>
    <w:rsid w:val="297C1FA4"/>
    <w:rsid w:val="2C5C5166"/>
    <w:rsid w:val="3BE50A0D"/>
    <w:rsid w:val="3CD34E96"/>
    <w:rsid w:val="3F871ED1"/>
    <w:rsid w:val="4AC26BCC"/>
    <w:rsid w:val="516B7CCE"/>
    <w:rsid w:val="551F1B0A"/>
    <w:rsid w:val="5C71584E"/>
    <w:rsid w:val="5CB430D3"/>
    <w:rsid w:val="5E9E4B59"/>
    <w:rsid w:val="60106DC9"/>
    <w:rsid w:val="607A3723"/>
    <w:rsid w:val="60854409"/>
    <w:rsid w:val="626F38D4"/>
    <w:rsid w:val="76474121"/>
    <w:rsid w:val="7A2B0820"/>
    <w:rsid w:val="7F23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2023-11-20T08:45:00Z</dcterms:created>
  <dc:creator>^ↀᴥↀ^</dc:creator>
  <cp:lastModifiedBy>奈何</cp:lastModifiedBy>
  <cp:lastPrinted>2024-03-11T01:48:00Z</cp:lastPrinted>
  <dcterms:modified xsi:type="dcterms:W3CDTF">2024-03-11T03:03:24Z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9359F8DD7D5A49049137FD512B70BE38_11</vt:lpwstr>
  </property>
</Properties>
</file>